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D" w:rsidRPr="006362DF" w:rsidRDefault="00CA53FE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52015" cy="8001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21520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402.998.5288</w:t>
      </w:r>
    </w:p>
    <w:p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6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 xml:space="preserve">ID#: </w:t>
      </w:r>
      <w:r w:rsidR="00896A08" w:rsidRPr="00896A08">
        <w:rPr>
          <w:rFonts w:ascii="Arial" w:hAnsi="Arial" w:cs="Arial"/>
          <w:b/>
          <w:sz w:val="20"/>
          <w:szCs w:val="20"/>
        </w:rPr>
        <w:t>INS009</w:t>
      </w:r>
    </w:p>
    <w:p w:rsidR="00CA53FE" w:rsidRDefault="00CA53FE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53FE" w:rsidRDefault="00CA53FE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</w:p>
    <w:p w:rsidR="003C763B" w:rsidRDefault="00924319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540pt;height:1pt" o:hralign="center" o:hrstd="t" o:hrnoshade="t" o:hr="t" fillcolor="#55274e" stroked="f"/>
        </w:pict>
      </w:r>
    </w:p>
    <w:p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:rsidR="006019DD" w:rsidRPr="007D7C70" w:rsidRDefault="006019DD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7D7C70">
        <w:rPr>
          <w:rFonts w:ascii="Arial" w:hAnsi="Arial" w:cs="Arial"/>
          <w:b/>
          <w:color w:val="55274E"/>
          <w:sz w:val="40"/>
          <w:szCs w:val="20"/>
        </w:rPr>
        <w:t xml:space="preserve">FOR SALE: </w:t>
      </w:r>
      <w:r w:rsidR="002F4A95">
        <w:rPr>
          <w:rFonts w:ascii="Arial" w:hAnsi="Arial" w:cs="Arial"/>
          <w:b/>
          <w:sz w:val="40"/>
          <w:szCs w:val="20"/>
        </w:rPr>
        <w:t>Academic Coaching, Test Prep &amp; Tutoring</w:t>
      </w:r>
    </w:p>
    <w:p w:rsidR="00772E20" w:rsidRPr="007D7C70" w:rsidRDefault="002F4A95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i/>
          <w:color w:val="595959" w:themeColor="text1" w:themeTint="A6"/>
          <w:sz w:val="28"/>
          <w:szCs w:val="20"/>
        </w:rPr>
        <w:t>Three centers serving the Omaha Metro for 20 years</w:t>
      </w:r>
    </w:p>
    <w:p w:rsidR="00A8394F" w:rsidRPr="003E7C8A" w:rsidRDefault="00A8394F" w:rsidP="00A8394F">
      <w:pPr>
        <w:tabs>
          <w:tab w:val="left" w:pos="7920"/>
        </w:tabs>
        <w:spacing w:after="0" w:line="240" w:lineRule="auto"/>
        <w:rPr>
          <w:b/>
          <w:sz w:val="18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2"/>
        <w:gridCol w:w="726"/>
        <w:gridCol w:w="5082"/>
      </w:tblGrid>
      <w:tr w:rsidR="001574A5" w:rsidTr="002F4A95">
        <w:trPr>
          <w:trHeight w:hRule="exact" w:val="3078"/>
        </w:trPr>
        <w:tc>
          <w:tcPr>
            <w:tcW w:w="5040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Financial Overview</w:t>
            </w:r>
            <w:r w:rsidRPr="00B05726">
              <w:rPr>
                <w:rFonts w:ascii="Arial" w:hAnsi="Arial" w:cs="Arial"/>
                <w:color w:val="4A7B29" w:themeColor="accent2" w:themeShade="BF"/>
                <w:szCs w:val="20"/>
                <w:u w:val="single" w:color="55274E"/>
              </w:rPr>
              <w:tab/>
            </w:r>
          </w:p>
          <w:p w:rsidR="00896A08" w:rsidRPr="006362DF" w:rsidRDefault="00896A08" w:rsidP="00896A08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List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2F4A95">
              <w:rPr>
                <w:rFonts w:ascii="Arial" w:hAnsi="Arial" w:cs="Arial"/>
                <w:b/>
                <w:szCs w:val="20"/>
              </w:rPr>
              <w:t>825,000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Gross Sales </w:t>
            </w:r>
          </w:p>
          <w:p w:rsidR="00896A08" w:rsidRPr="00BC2C8B" w:rsidRDefault="00896A08" w:rsidP="00896A08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$1,054,466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Owner Profit/Cash Flow</w:t>
            </w:r>
          </w:p>
          <w:p w:rsidR="00896A08" w:rsidRPr="00BC2C8B" w:rsidRDefault="00896A08" w:rsidP="00896A08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$257,365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Profit Margin: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24% in 2018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Multiple: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:rsidR="00896A08" w:rsidRDefault="00896A08" w:rsidP="00896A08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6A08" w:rsidRPr="006362DF" w:rsidRDefault="00896A08" w:rsidP="00896A08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Valuation: </w:t>
            </w:r>
            <w:r>
              <w:rPr>
                <w:rFonts w:ascii="Arial" w:hAnsi="Arial" w:cs="Arial"/>
                <w:sz w:val="16"/>
                <w:szCs w:val="20"/>
              </w:rPr>
              <w:t>2018</w:t>
            </w:r>
            <w:r w:rsidRPr="007D7C7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Cash Flow</w:t>
            </w:r>
            <w:r>
              <w:rPr>
                <w:rFonts w:ascii="Arial" w:hAnsi="Arial" w:cs="Arial"/>
                <w:sz w:val="16"/>
                <w:szCs w:val="20"/>
              </w:rPr>
              <w:tab/>
              <w:t>x</w:t>
            </w:r>
            <w:r>
              <w:rPr>
                <w:rFonts w:ascii="Arial" w:hAnsi="Arial" w:cs="Arial"/>
                <w:sz w:val="16"/>
                <w:szCs w:val="20"/>
              </w:rPr>
              <w:tab/>
              <w:t>Multiple</w:t>
            </w:r>
            <w:r>
              <w:rPr>
                <w:rFonts w:ascii="Arial" w:hAnsi="Arial" w:cs="Arial"/>
                <w:sz w:val="16"/>
                <w:szCs w:val="20"/>
              </w:rPr>
              <w:tab/>
              <w:t>=</w:t>
            </w:r>
            <w:r>
              <w:rPr>
                <w:rFonts w:ascii="Arial" w:hAnsi="Arial" w:cs="Arial"/>
                <w:sz w:val="16"/>
                <w:szCs w:val="20"/>
              </w:rPr>
              <w:tab/>
              <w:t>Valuation</w:t>
            </w:r>
          </w:p>
          <w:p w:rsidR="00896A08" w:rsidRPr="006362DF" w:rsidRDefault="00896A08" w:rsidP="00896A08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257,365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x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Pr="006362DF">
              <w:rPr>
                <w:rFonts w:ascii="Arial" w:hAnsi="Arial" w:cs="Arial"/>
                <w:sz w:val="20"/>
                <w:szCs w:val="20"/>
              </w:rPr>
              <w:t>=</w:t>
            </w:r>
            <w:proofErr w:type="gramEnd"/>
            <w:r w:rsidRPr="006362DF">
              <w:rPr>
                <w:rFonts w:ascii="Arial" w:hAnsi="Arial" w:cs="Arial"/>
                <w:sz w:val="20"/>
                <w:szCs w:val="20"/>
              </w:rPr>
              <w:tab/>
              <w:t>$</w:t>
            </w:r>
            <w:r w:rsidR="002F4A95">
              <w:rPr>
                <w:rFonts w:ascii="Arial" w:hAnsi="Arial" w:cs="Arial"/>
                <w:sz w:val="20"/>
                <w:szCs w:val="20"/>
              </w:rPr>
              <w:t>823,568</w:t>
            </w:r>
          </w:p>
          <w:p w:rsidR="001574A5" w:rsidRPr="00CC5683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 w:val="restart"/>
          </w:tcPr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Funding Example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896A08" w:rsidRPr="006362DF" w:rsidRDefault="00896A08" w:rsidP="00896A08">
            <w:pPr>
              <w:tabs>
                <w:tab w:val="right" w:pos="3912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Purchase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 xml:space="preserve">                              </w:t>
            </w:r>
            <w:r w:rsidRPr="006362DF">
              <w:rPr>
                <w:rFonts w:ascii="Arial" w:hAnsi="Arial" w:cs="Arial"/>
                <w:b/>
                <w:szCs w:val="20"/>
              </w:rPr>
              <w:t>$</w:t>
            </w:r>
            <w:r w:rsidR="00924319">
              <w:rPr>
                <w:rFonts w:ascii="Arial" w:hAnsi="Arial" w:cs="Arial"/>
                <w:b/>
                <w:szCs w:val="20"/>
              </w:rPr>
              <w:t>825,000</w:t>
            </w:r>
          </w:p>
          <w:p w:rsidR="00896A08" w:rsidRPr="006362DF" w:rsidRDefault="00896A08" w:rsidP="00896A08">
            <w:pPr>
              <w:tabs>
                <w:tab w:val="right" w:pos="3912"/>
                <w:tab w:val="left" w:pos="7920"/>
              </w:tabs>
              <w:ind w:firstLine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12.5</w:t>
            </w:r>
            <w:r w:rsidRPr="006362DF">
              <w:rPr>
                <w:rFonts w:ascii="Arial" w:hAnsi="Arial" w:cs="Arial"/>
                <w:i/>
                <w:szCs w:val="20"/>
              </w:rPr>
              <w:t>%</w:t>
            </w:r>
            <w:r w:rsidRPr="006362DF">
              <w:rPr>
                <w:rFonts w:ascii="Arial" w:hAnsi="Arial" w:cs="Arial"/>
                <w:b/>
                <w:szCs w:val="20"/>
              </w:rPr>
              <w:t xml:space="preserve"> Buyer Down Payment:</w:t>
            </w: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6362DF">
              <w:rPr>
                <w:rFonts w:ascii="Arial" w:hAnsi="Arial" w:cs="Arial"/>
                <w:b/>
                <w:szCs w:val="20"/>
              </w:rPr>
              <w:tab/>
            </w:r>
            <w:r w:rsidRPr="006362DF"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  <w:szCs w:val="20"/>
              </w:rPr>
              <w:t>103,</w:t>
            </w:r>
            <w:r w:rsidR="00924319">
              <w:rPr>
                <w:rFonts w:ascii="Arial" w:hAnsi="Arial" w:cs="Arial"/>
                <w:szCs w:val="20"/>
              </w:rPr>
              <w:t>125</w:t>
            </w:r>
          </w:p>
          <w:p w:rsidR="00896A08" w:rsidRPr="006362DF" w:rsidRDefault="00896A08" w:rsidP="00896A08">
            <w:pPr>
              <w:tabs>
                <w:tab w:val="right" w:pos="3912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12.5</w:t>
            </w:r>
            <w:r w:rsidRPr="006362DF">
              <w:rPr>
                <w:rFonts w:ascii="Arial" w:hAnsi="Arial" w:cs="Arial"/>
                <w:i/>
                <w:szCs w:val="20"/>
              </w:rPr>
              <w:t>%</w:t>
            </w:r>
            <w:r w:rsidRPr="006362DF">
              <w:rPr>
                <w:rFonts w:ascii="Arial" w:hAnsi="Arial" w:cs="Arial"/>
                <w:b/>
                <w:szCs w:val="20"/>
              </w:rPr>
              <w:t xml:space="preserve"> Seller Financing:</w:t>
            </w:r>
            <w:r w:rsidRPr="006362DF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             </w:t>
            </w:r>
            <w:r w:rsidRPr="006362DF">
              <w:rPr>
                <w:rFonts w:ascii="Arial" w:hAnsi="Arial" w:cs="Arial"/>
                <w:szCs w:val="20"/>
              </w:rPr>
              <w:t>$</w:t>
            </w:r>
            <w:r>
              <w:rPr>
                <w:rFonts w:ascii="Arial" w:hAnsi="Arial" w:cs="Arial"/>
                <w:szCs w:val="20"/>
              </w:rPr>
              <w:t>103,</w:t>
            </w:r>
            <w:r w:rsidR="00924319">
              <w:rPr>
                <w:rFonts w:ascii="Arial" w:hAnsi="Arial" w:cs="Arial"/>
                <w:szCs w:val="20"/>
              </w:rPr>
              <w:t>125</w:t>
            </w:r>
          </w:p>
          <w:p w:rsidR="00896A08" w:rsidRPr="006362DF" w:rsidRDefault="00896A08" w:rsidP="00896A08">
            <w:pPr>
              <w:tabs>
                <w:tab w:val="right" w:pos="3912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75</w:t>
            </w:r>
            <w:r w:rsidRPr="006362DF">
              <w:rPr>
                <w:rFonts w:ascii="Arial" w:hAnsi="Arial" w:cs="Arial"/>
                <w:i/>
                <w:szCs w:val="20"/>
              </w:rPr>
              <w:t>%</w:t>
            </w:r>
            <w:r w:rsidRPr="006362DF">
              <w:rPr>
                <w:rFonts w:ascii="Arial" w:hAnsi="Arial" w:cs="Arial"/>
                <w:b/>
                <w:szCs w:val="20"/>
              </w:rPr>
              <w:t xml:space="preserve"> Bank Loan:</w:t>
            </w:r>
            <w:r w:rsidRPr="006362DF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                         </w:t>
            </w:r>
            <w:r w:rsidRPr="006362DF">
              <w:rPr>
                <w:rFonts w:ascii="Arial" w:hAnsi="Arial" w:cs="Arial"/>
                <w:szCs w:val="20"/>
              </w:rPr>
              <w:t>$</w:t>
            </w:r>
            <w:r w:rsidR="00924319">
              <w:rPr>
                <w:rFonts w:ascii="Arial" w:hAnsi="Arial" w:cs="Arial"/>
                <w:szCs w:val="20"/>
              </w:rPr>
              <w:t>618,750</w:t>
            </w:r>
          </w:p>
          <w:p w:rsidR="00896A08" w:rsidRDefault="00896A08" w:rsidP="00896A08">
            <w:pPr>
              <w:tabs>
                <w:tab w:val="right" w:pos="3600"/>
                <w:tab w:val="left" w:pos="7920"/>
              </w:tabs>
              <w:rPr>
                <w:rFonts w:ascii="Arial" w:hAnsi="Arial" w:cs="Arial"/>
                <w:i/>
                <w:szCs w:val="20"/>
              </w:rPr>
            </w:pPr>
          </w:p>
          <w:p w:rsidR="00896A08" w:rsidRDefault="00896A08" w:rsidP="00896A08">
            <w:pPr>
              <w:tabs>
                <w:tab w:val="right" w:pos="3600"/>
                <w:tab w:val="left" w:pos="7920"/>
              </w:tabs>
              <w:ind w:left="222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A </w:t>
            </w:r>
            <w:r w:rsidRPr="00364FE0">
              <w:rPr>
                <w:rFonts w:ascii="Arial" w:hAnsi="Arial" w:cs="Arial"/>
                <w:i/>
                <w:szCs w:val="20"/>
              </w:rPr>
              <w:t>12.5% down payment of $</w:t>
            </w:r>
            <w:r>
              <w:rPr>
                <w:rFonts w:ascii="Arial" w:hAnsi="Arial" w:cs="Arial"/>
                <w:i/>
                <w:szCs w:val="20"/>
              </w:rPr>
              <w:t>103,</w:t>
            </w:r>
            <w:r w:rsidR="00924319">
              <w:rPr>
                <w:rFonts w:ascii="Arial" w:hAnsi="Arial" w:cs="Arial"/>
                <w:i/>
                <w:szCs w:val="20"/>
              </w:rPr>
              <w:t>125</w:t>
            </w:r>
            <w:r w:rsidRPr="00364FE0">
              <w:rPr>
                <w:rFonts w:ascii="Arial" w:hAnsi="Arial" w:cs="Arial"/>
                <w:i/>
                <w:szCs w:val="20"/>
              </w:rPr>
              <w:t xml:space="preserve"> returns $</w:t>
            </w:r>
            <w:r w:rsidR="00924319">
              <w:rPr>
                <w:rFonts w:ascii="Arial" w:hAnsi="Arial" w:cs="Arial"/>
                <w:i/>
                <w:szCs w:val="20"/>
              </w:rPr>
              <w:t>136,437</w:t>
            </w:r>
            <w:r w:rsidRPr="00364FE0">
              <w:rPr>
                <w:rFonts w:ascii="Arial" w:hAnsi="Arial" w:cs="Arial"/>
                <w:i/>
                <w:szCs w:val="20"/>
              </w:rPr>
              <w:t xml:space="preserve"> in</w:t>
            </w:r>
            <w:r>
              <w:rPr>
                <w:rFonts w:ascii="Arial" w:hAnsi="Arial" w:cs="Arial"/>
                <w:i/>
                <w:szCs w:val="20"/>
              </w:rPr>
              <w:t xml:space="preserve"> the first year </w:t>
            </w:r>
            <w:r>
              <w:rPr>
                <w:rFonts w:ascii="Arial" w:hAnsi="Arial" w:cs="Arial"/>
                <w:i/>
                <w:szCs w:val="20"/>
                <w:u w:val="single"/>
              </w:rPr>
              <w:t>after</w:t>
            </w:r>
            <w:r>
              <w:rPr>
                <w:rFonts w:ascii="Arial" w:hAnsi="Arial" w:cs="Arial"/>
                <w:i/>
                <w:szCs w:val="20"/>
              </w:rPr>
              <w:t xml:space="preserve"> debt payments!</w:t>
            </w:r>
          </w:p>
          <w:p w:rsidR="00CD09DC" w:rsidRDefault="00CD09DC" w:rsidP="001574A5">
            <w:pPr>
              <w:tabs>
                <w:tab w:val="right" w:pos="5082"/>
                <w:tab w:val="right" w:pos="6120"/>
                <w:tab w:val="left" w:pos="7920"/>
              </w:tabs>
              <w:spacing w:before="120" w:after="12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  <w:p w:rsidR="00924319" w:rsidRDefault="00924319" w:rsidP="001574A5">
            <w:pPr>
              <w:tabs>
                <w:tab w:val="right" w:pos="5082"/>
                <w:tab w:val="right" w:pos="6120"/>
                <w:tab w:val="left" w:pos="7920"/>
              </w:tabs>
              <w:spacing w:before="120" w:after="12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Description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924319" w:rsidRDefault="00924319" w:rsidP="00896A08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96A08" w:rsidRPr="00896A08" w:rsidRDefault="00924319" w:rsidP="00896A08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coaching, test prep and tutoring business with three centers serving the Omaha Metro for 20 years. Each location has two full-time directors and 10-15 part-time instructors with 45-60 students at each location.</w:t>
            </w:r>
            <w:r w:rsidR="00896A08" w:rsidRPr="00896A08">
              <w:rPr>
                <w:rFonts w:ascii="Arial" w:hAnsi="Arial" w:cs="Arial"/>
                <w:sz w:val="21"/>
                <w:szCs w:val="21"/>
              </w:rPr>
              <w:t xml:space="preserve"> Part of a national franchise with locations across the globe, these three educational centers are the only ones in Eastern Nebraska and are dedicated to helping students succeed. Services include academic coaching (75%) college prep and homework support (20%) and STEM (5%). </w:t>
            </w:r>
          </w:p>
          <w:p w:rsidR="00896A08" w:rsidRPr="00896A08" w:rsidRDefault="00896A08" w:rsidP="00896A08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96A08" w:rsidRPr="00896A08" w:rsidRDefault="00896A08" w:rsidP="00896A08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6A08">
              <w:rPr>
                <w:rFonts w:ascii="Arial" w:hAnsi="Arial" w:cs="Arial"/>
                <w:sz w:val="21"/>
                <w:szCs w:val="21"/>
              </w:rPr>
              <w:t xml:space="preserve">The seller currently oversees operations and assists as needed.  Requiring pre-payment or an auto payment plan in place, this center has over $40,000 in the pipeline. This business boasts an average sale size around $3,000 for core academic programs with approximately 45-60 students at each location. </w:t>
            </w:r>
            <w:r w:rsidR="00924319">
              <w:rPr>
                <w:rFonts w:ascii="Arial" w:hAnsi="Arial" w:cs="Arial"/>
                <w:sz w:val="21"/>
                <w:szCs w:val="21"/>
              </w:rPr>
              <w:t>2018 carried a 24% profit margin!</w:t>
            </w:r>
            <w:bookmarkStart w:id="0" w:name="_GoBack"/>
            <w:bookmarkEnd w:id="0"/>
          </w:p>
          <w:p w:rsidR="00896A08" w:rsidRPr="00896A08" w:rsidRDefault="00896A08" w:rsidP="00896A08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86085" w:rsidRPr="006362DF" w:rsidRDefault="00896A08" w:rsidP="00896A08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6A08">
              <w:rPr>
                <w:rFonts w:ascii="Arial" w:hAnsi="Arial" w:cs="Arial"/>
                <w:sz w:val="21"/>
                <w:szCs w:val="21"/>
              </w:rPr>
              <w:t>Growth opportunities include advancing test prep in private school systems, adding satellite locations, and getting more involved in the local communities. Offering a variety of educational services, this team of dedicated teachers provide students with the individualized education they need to unlock their potential in the classroom and beyond.</w:t>
            </w:r>
          </w:p>
          <w:p w:rsidR="006149B0" w:rsidRDefault="006149B0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1B7705" w:rsidRDefault="001B7705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1B7705" w:rsidRPr="006149B0" w:rsidRDefault="001B7705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1574A5" w:rsidRPr="006362DF" w:rsidRDefault="001574A5" w:rsidP="001B7705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A5" w:rsidTr="00855ADE">
        <w:trPr>
          <w:trHeight w:val="2250"/>
        </w:trPr>
        <w:tc>
          <w:tcPr>
            <w:tcW w:w="5040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Assets Included in Purchase</w:t>
            </w:r>
            <w:r w:rsidR="008D6ED5">
              <w:rPr>
                <w:rFonts w:ascii="Arial" w:hAnsi="Arial" w:cs="Arial"/>
                <w:color w:val="55274E"/>
                <w:szCs w:val="20"/>
                <w:u w:val="single" w:color="55274E"/>
              </w:rPr>
              <w:t>*</w:t>
            </w:r>
            <w:r w:rsidR="00786085"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: $</w:t>
            </w:r>
            <w:r w:rsidR="009D7450">
              <w:rPr>
                <w:rFonts w:ascii="Arial" w:hAnsi="Arial" w:cs="Arial"/>
                <w:color w:val="55274E"/>
                <w:szCs w:val="20"/>
                <w:u w:val="single" w:color="55274E"/>
              </w:rPr>
              <w:t>54,480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$54,480 Computers, Furniture &amp; Fixtures</w:t>
            </w:r>
          </w:p>
          <w:p w:rsidR="00896A08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Intangible Assets: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Positive reputation and proven success record</w:t>
            </w:r>
          </w:p>
          <w:p w:rsidR="00924319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Pipeline:</w:t>
            </w:r>
            <w:r>
              <w:rPr>
                <w:rFonts w:ascii="Arial" w:hAnsi="Arial" w:cs="Arial"/>
                <w:sz w:val="20"/>
                <w:szCs w:val="20"/>
              </w:rPr>
              <w:t xml:space="preserve"> $40,000                    </w:t>
            </w:r>
          </w:p>
          <w:p w:rsidR="00924319" w:rsidRDefault="00924319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5ADE" w:rsidRPr="00855ADE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i/>
                <w:sz w:val="20"/>
                <w:szCs w:val="20"/>
              </w:rPr>
            </w:pPr>
            <w:r w:rsidRPr="006362DF">
              <w:rPr>
                <w:rFonts w:ascii="Arial" w:hAnsi="Arial" w:cs="Arial"/>
                <w:i/>
                <w:sz w:val="20"/>
                <w:szCs w:val="20"/>
              </w:rPr>
              <w:t>*amounts may vary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9E34FE">
        <w:trPr>
          <w:trHeight w:val="3816"/>
        </w:trPr>
        <w:tc>
          <w:tcPr>
            <w:tcW w:w="5040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Business Information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Years in Business: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20+ years in business</w:t>
            </w:r>
          </w:p>
          <w:p w:rsidR="00896A08" w:rsidRPr="00A16164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Omaha,</w:t>
            </w:r>
            <w:r w:rsidRPr="00A16164">
              <w:rPr>
                <w:rFonts w:ascii="Arial" w:hAnsi="Arial" w:cs="Arial"/>
                <w:sz w:val="20"/>
                <w:szCs w:val="20"/>
              </w:rPr>
              <w:t xml:space="preserve"> Nebraska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Service Area: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Omaha Metro, Council Bluffs &amp; Lincoln</w:t>
            </w:r>
          </w:p>
          <w:p w:rsidR="00896A08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Clients: </w:t>
            </w:r>
            <w:r w:rsidRPr="00E13226">
              <w:rPr>
                <w:rFonts w:ascii="Arial" w:hAnsi="Arial" w:cs="Arial"/>
                <w:sz w:val="20"/>
                <w:szCs w:val="20"/>
              </w:rPr>
              <w:t>Currently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3226">
              <w:rPr>
                <w:rFonts w:ascii="Arial" w:hAnsi="Arial" w:cs="Arial"/>
                <w:sz w:val="20"/>
                <w:szCs w:val="20"/>
              </w:rPr>
              <w:t>around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18D5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13226">
              <w:rPr>
                <w:rFonts w:ascii="Arial" w:hAnsi="Arial" w:cs="Arial"/>
                <w:sz w:val="20"/>
                <w:szCs w:val="20"/>
              </w:rPr>
              <w:t>60 students at each location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226">
              <w:rPr>
                <w:rFonts w:ascii="Arial" w:hAnsi="Arial" w:cs="Arial"/>
                <w:sz w:val="20"/>
                <w:szCs w:val="20"/>
              </w:rPr>
              <w:t>Academic coaching (75%)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E13226">
              <w:rPr>
                <w:rFonts w:ascii="Arial" w:hAnsi="Arial" w:cs="Arial"/>
                <w:sz w:val="20"/>
                <w:szCs w:val="20"/>
              </w:rPr>
              <w:t xml:space="preserve"> college prep and homework support (20%)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E13226">
              <w:rPr>
                <w:rFonts w:ascii="Arial" w:hAnsi="Arial" w:cs="Arial"/>
                <w:sz w:val="20"/>
                <w:szCs w:val="20"/>
              </w:rPr>
              <w:t xml:space="preserve"> STEM (5%)</w:t>
            </w:r>
          </w:p>
          <w:p w:rsidR="00896A08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Buildin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259">
              <w:rPr>
                <w:rFonts w:ascii="Arial" w:hAnsi="Arial" w:cs="Arial"/>
                <w:sz w:val="20"/>
                <w:szCs w:val="20"/>
              </w:rPr>
              <w:t>Offices, lobby, instruction rooms, storage room</w:t>
            </w:r>
            <w:r>
              <w:rPr>
                <w:rFonts w:ascii="Arial" w:hAnsi="Arial" w:cs="Arial"/>
                <w:sz w:val="20"/>
                <w:szCs w:val="20"/>
              </w:rPr>
              <w:t>, etc. Location 1: 1,185 square feet; Location 2: 2,700 square feet; Location 3: 2,588 square feet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Reason for Selling: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Ventures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Employees: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40: Each location has 2 FT Directors and 10-15 PT Instructors</w:t>
            </w:r>
          </w:p>
          <w:p w:rsidR="00896A08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Typical </w:t>
            </w:r>
            <w:r w:rsidRPr="006362DF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M-TH </w:t>
            </w:r>
            <w:r w:rsidRPr="00E13226">
              <w:rPr>
                <w:rFonts w:ascii="Arial" w:hAnsi="Arial" w:cs="Arial"/>
                <w:sz w:val="20"/>
                <w:szCs w:val="20"/>
              </w:rPr>
              <w:t>9am-8pm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E13226">
              <w:rPr>
                <w:rFonts w:ascii="Arial" w:hAnsi="Arial" w:cs="Arial"/>
                <w:sz w:val="20"/>
                <w:szCs w:val="20"/>
              </w:rPr>
              <w:t xml:space="preserve"> Fri 9am-4pm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E13226">
              <w:rPr>
                <w:rFonts w:ascii="Arial" w:hAnsi="Arial" w:cs="Arial"/>
                <w:sz w:val="20"/>
                <w:szCs w:val="20"/>
              </w:rPr>
              <w:t xml:space="preserve"> Sat 8:30-1pm </w:t>
            </w:r>
            <w:r>
              <w:rPr>
                <w:rFonts w:ascii="Arial" w:hAnsi="Arial" w:cs="Arial"/>
                <w:sz w:val="20"/>
                <w:szCs w:val="20"/>
              </w:rPr>
              <w:t>with shorter summer hours</w:t>
            </w:r>
          </w:p>
          <w:p w:rsidR="00896A08" w:rsidRPr="006362DF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Seller Training Period: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 months</w:t>
            </w:r>
          </w:p>
          <w:p w:rsidR="001574A5" w:rsidRPr="00146BBE" w:rsidRDefault="00896A08" w:rsidP="00896A08">
            <w:pPr>
              <w:tabs>
                <w:tab w:val="left" w:pos="7920"/>
              </w:tabs>
              <w:spacing w:before="60"/>
              <w:ind w:left="360" w:hanging="18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Growth Opportunities: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Advancing test prep in private schools, adding satellite locations, and getting involved in the local communities</w:t>
            </w:r>
          </w:p>
        </w:tc>
        <w:tc>
          <w:tcPr>
            <w:tcW w:w="720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40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RPr="007D7C70" w:rsidTr="003E7C8A">
        <w:trPr>
          <w:trHeight w:val="288"/>
        </w:trPr>
        <w:tc>
          <w:tcPr>
            <w:tcW w:w="5040" w:type="dxa"/>
          </w:tcPr>
          <w:p w:rsidR="001574A5" w:rsidRPr="004D2145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color w:val="7F7F7F" w:themeColor="text1" w:themeTint="80"/>
                <w:sz w:val="13"/>
                <w:szCs w:val="13"/>
              </w:rPr>
            </w:pPr>
          </w:p>
        </w:tc>
        <w:tc>
          <w:tcPr>
            <w:tcW w:w="5040" w:type="dxa"/>
            <w:gridSpan w:val="2"/>
          </w:tcPr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color w:val="7F7F7F" w:themeColor="text1" w:themeTint="80"/>
                <w:sz w:val="5"/>
                <w:szCs w:val="13"/>
              </w:rPr>
            </w:pPr>
          </w:p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right"/>
              <w:rPr>
                <w:rFonts w:ascii="Arial" w:hAnsi="Arial" w:cs="Arial"/>
                <w:b/>
                <w:color w:val="4A7B29" w:themeColor="accent2" w:themeShade="BF"/>
                <w:sz w:val="14"/>
                <w:szCs w:val="20"/>
              </w:rPr>
            </w:pPr>
          </w:p>
        </w:tc>
      </w:tr>
      <w:tr w:rsidR="001574A5" w:rsidTr="007D7C70">
        <w:trPr>
          <w:trHeight w:val="342"/>
        </w:trPr>
        <w:tc>
          <w:tcPr>
            <w:tcW w:w="5040" w:type="dxa"/>
            <w:gridSpan w:val="3"/>
          </w:tcPr>
          <w:p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Last Revised </w:t>
            </w:r>
            <w:r w:rsidR="009D745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ML 7/9/19</w:t>
            </w:r>
          </w:p>
        </w:tc>
      </w:tr>
      <w:tr w:rsidR="001574A5" w:rsidTr="001574A5">
        <w:tc>
          <w:tcPr>
            <w:tcW w:w="5040" w:type="dxa"/>
            <w:gridSpan w:val="3"/>
          </w:tcPr>
          <w:p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428DA"/>
    <w:rsid w:val="0008040B"/>
    <w:rsid w:val="00127EE4"/>
    <w:rsid w:val="00146BBE"/>
    <w:rsid w:val="001574A5"/>
    <w:rsid w:val="00186964"/>
    <w:rsid w:val="001B7705"/>
    <w:rsid w:val="00264766"/>
    <w:rsid w:val="002657D4"/>
    <w:rsid w:val="0027046A"/>
    <w:rsid w:val="002A0F18"/>
    <w:rsid w:val="002D58A9"/>
    <w:rsid w:val="002E2993"/>
    <w:rsid w:val="002E2C4A"/>
    <w:rsid w:val="002F3D05"/>
    <w:rsid w:val="002F4A95"/>
    <w:rsid w:val="003C763B"/>
    <w:rsid w:val="003E7C8A"/>
    <w:rsid w:val="00477906"/>
    <w:rsid w:val="004D2145"/>
    <w:rsid w:val="004E0E34"/>
    <w:rsid w:val="00516872"/>
    <w:rsid w:val="00597664"/>
    <w:rsid w:val="005C6BC4"/>
    <w:rsid w:val="005C7AEB"/>
    <w:rsid w:val="005D61D5"/>
    <w:rsid w:val="006019DD"/>
    <w:rsid w:val="006149B0"/>
    <w:rsid w:val="006362DF"/>
    <w:rsid w:val="00697D51"/>
    <w:rsid w:val="006B4AFF"/>
    <w:rsid w:val="00772E20"/>
    <w:rsid w:val="00786085"/>
    <w:rsid w:val="007C1A05"/>
    <w:rsid w:val="007D7C70"/>
    <w:rsid w:val="007F19E4"/>
    <w:rsid w:val="0082091A"/>
    <w:rsid w:val="00855ADE"/>
    <w:rsid w:val="00864236"/>
    <w:rsid w:val="00896A08"/>
    <w:rsid w:val="008A1FCA"/>
    <w:rsid w:val="008A361F"/>
    <w:rsid w:val="008D6ED5"/>
    <w:rsid w:val="00924319"/>
    <w:rsid w:val="009D7450"/>
    <w:rsid w:val="009E34FE"/>
    <w:rsid w:val="00A8394F"/>
    <w:rsid w:val="00AD4AE3"/>
    <w:rsid w:val="00B05726"/>
    <w:rsid w:val="00B12AA6"/>
    <w:rsid w:val="00B34534"/>
    <w:rsid w:val="00B94173"/>
    <w:rsid w:val="00BC2C8B"/>
    <w:rsid w:val="00C9006D"/>
    <w:rsid w:val="00CA53FE"/>
    <w:rsid w:val="00CB7422"/>
    <w:rsid w:val="00CC3640"/>
    <w:rsid w:val="00CC5683"/>
    <w:rsid w:val="00CD09DC"/>
    <w:rsid w:val="00CE4CC3"/>
    <w:rsid w:val="00CE7FC4"/>
    <w:rsid w:val="00D53B05"/>
    <w:rsid w:val="00E47A62"/>
    <w:rsid w:val="00E5377F"/>
    <w:rsid w:val="00E54E9D"/>
    <w:rsid w:val="00ED063B"/>
    <w:rsid w:val="00F0467C"/>
    <w:rsid w:val="00F4497D"/>
    <w:rsid w:val="00F5387D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2B5485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fidential@TheFirmB2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E2DD-A8C1-421F-BD0D-F4F82D04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Elise Elise Turille-Barnett</cp:lastModifiedBy>
  <cp:revision>3</cp:revision>
  <cp:lastPrinted>2017-01-03T15:41:00Z</cp:lastPrinted>
  <dcterms:created xsi:type="dcterms:W3CDTF">2019-07-09T19:04:00Z</dcterms:created>
  <dcterms:modified xsi:type="dcterms:W3CDTF">2019-07-09T19:36:00Z</dcterms:modified>
</cp:coreProperties>
</file>